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41348C3" w:rsidR="00F92268" w:rsidRPr="00FF66BF" w:rsidRDefault="00B36431" w:rsidP="00F246C7">
            <w:pPr>
              <w:pStyle w:val="RefTableHeader"/>
            </w:pPr>
            <w:r>
              <w:t>241-A</w:t>
            </w:r>
          </w:p>
        </w:tc>
      </w:tr>
    </w:tbl>
    <w:p w14:paraId="74FBA5B4" w14:textId="77777777" w:rsidR="00051356" w:rsidRDefault="00051356" w:rsidP="00A672B3">
      <w:pPr>
        <w:pStyle w:val="BodyText"/>
        <w:rPr>
          <w:b/>
          <w:bCs/>
          <w:sz w:val="16"/>
          <w:szCs w:val="16"/>
        </w:rPr>
        <w:sectPr w:rsidR="00051356" w:rsidSect="00C5125B">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FBC0EA3" w:rsidR="004B15BB" w:rsidRPr="00BD1CC1" w:rsidRDefault="00BA217B" w:rsidP="00812122">
      <w:pPr>
        <w:pStyle w:val="Heading1"/>
      </w:pPr>
      <w:r>
        <w:t xml:space="preserve">Initial </w:t>
      </w:r>
      <w:r w:rsidR="00333FCF" w:rsidRPr="00333FCF">
        <w:t>Prior Authorization</w:t>
      </w:r>
      <w:r w:rsidR="00812122">
        <w:br/>
      </w:r>
      <w:r w:rsidR="00333FCF" w:rsidRPr="00333FCF">
        <w:t>Vfend</w:t>
      </w:r>
    </w:p>
    <w:p w14:paraId="78861C92" w14:textId="0062078C" w:rsidR="00203468" w:rsidRPr="00BD1CC1" w:rsidRDefault="00C64534" w:rsidP="008E0F0D">
      <w:pPr>
        <w:pStyle w:val="Heading2"/>
      </w:pPr>
      <w:r w:rsidRPr="00BD1CC1">
        <w:t xml:space="preserve">Products Referenced by this </w:t>
      </w:r>
      <w:r w:rsidR="00501602" w:rsidRPr="00BD1CC1">
        <w:t>Document</w:t>
      </w:r>
    </w:p>
    <w:p w14:paraId="5455152B" w14:textId="020B856D"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F37BF4" w:rsidRPr="00BD1CC1">
        <w:t>O</w:t>
      </w:r>
      <w:r w:rsidR="00F37BF4">
        <w:t>ver-the-counter</w:t>
      </w:r>
      <w:r w:rsidR="00F37BF4" w:rsidRPr="00BD1CC1">
        <w:t xml:space="preserve"> </w:t>
      </w:r>
      <w:r w:rsidR="00F37BF4">
        <w:t>(OTC)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0A07721F" w:rsidR="00585FFF" w:rsidRPr="00BD1CC1" w:rsidRDefault="00333FCF" w:rsidP="00E82ABA">
            <w:pPr>
              <w:pStyle w:val="TableDataUnpadded"/>
            </w:pPr>
            <w:r>
              <w:t>Vfend</w:t>
            </w:r>
          </w:p>
        </w:tc>
        <w:tc>
          <w:tcPr>
            <w:tcW w:w="5595" w:type="dxa"/>
          </w:tcPr>
          <w:p w14:paraId="7E26A004" w14:textId="46356064" w:rsidR="00585FFF" w:rsidRPr="00BD1CC1" w:rsidRDefault="000E294A" w:rsidP="00E82ABA">
            <w:pPr>
              <w:pStyle w:val="TableDataUnpadded"/>
            </w:pPr>
            <w:r>
              <w:t>vo</w:t>
            </w:r>
            <w:r w:rsidR="00333FCF" w:rsidRPr="00333FCF">
              <w:t>riconazole</w:t>
            </w:r>
          </w:p>
        </w:tc>
      </w:tr>
    </w:tbl>
    <w:bookmarkEnd w:id="0"/>
    <w:p w14:paraId="14CE6108" w14:textId="0F0A5655" w:rsidR="00FC1AAD" w:rsidRPr="00460F4A" w:rsidRDefault="00ED052F" w:rsidP="00FF66BF">
      <w:pPr>
        <w:pStyle w:val="Heading2"/>
        <w:tabs>
          <w:tab w:val="left" w:pos="9195"/>
        </w:tabs>
      </w:pPr>
      <w:r>
        <w:t>Indications</w:t>
      </w:r>
    </w:p>
    <w:p w14:paraId="134B5687" w14:textId="1A9EA30C" w:rsidR="00ED052F" w:rsidRPr="00BD1CC1" w:rsidRDefault="00ED052F" w:rsidP="00ED052F">
      <w:pPr>
        <w:pStyle w:val="Heading3"/>
        <w:keepNext w:val="0"/>
      </w:pPr>
      <w:r w:rsidRPr="00BD1CC1">
        <w:t>FDA-approved Indications</w:t>
      </w:r>
    </w:p>
    <w:p w14:paraId="2E404B81" w14:textId="5C8A4321" w:rsidR="00333FCF" w:rsidRPr="001E5C84" w:rsidRDefault="00333FCF" w:rsidP="00333FCF">
      <w:pPr>
        <w:pStyle w:val="Heading4"/>
      </w:pPr>
      <w:r w:rsidRPr="001E5C84">
        <w:t>Invasive Aspergillosis</w:t>
      </w:r>
    </w:p>
    <w:p w14:paraId="776CDC3E" w14:textId="5662DCEF" w:rsidR="00333FCF" w:rsidRPr="00192A01" w:rsidRDefault="00333FCF" w:rsidP="00192A01">
      <w:pPr>
        <w:pStyle w:val="BodyText"/>
      </w:pPr>
      <w:r w:rsidRPr="001E5C84">
        <w:t xml:space="preserve">Vfend is indicated in adults and pediatric patients (2 years of age and older) for the treatment of invasive aspergillosis (IA). In clinical trials, the majority of isolates recovered were </w:t>
      </w:r>
      <w:r w:rsidRPr="00AE13E6">
        <w:rPr>
          <w:iCs/>
        </w:rPr>
        <w:t>Aspergillus fumigatus</w:t>
      </w:r>
      <w:r w:rsidRPr="001E5C84">
        <w:t xml:space="preserve">. There was a small number of cases of culture-proven disease due to species of </w:t>
      </w:r>
      <w:r w:rsidRPr="00AE13E6">
        <w:rPr>
          <w:iCs/>
        </w:rPr>
        <w:t>Aspergillus</w:t>
      </w:r>
      <w:r w:rsidRPr="001E5C84">
        <w:t xml:space="preserve"> other than </w:t>
      </w:r>
      <w:r w:rsidRPr="00AE13E6">
        <w:rPr>
          <w:iCs/>
        </w:rPr>
        <w:t>A. fumigatus</w:t>
      </w:r>
      <w:r w:rsidRPr="001E5C84">
        <w:t>.</w:t>
      </w:r>
    </w:p>
    <w:p w14:paraId="264A39BA" w14:textId="52E1B543" w:rsidR="00333FCF" w:rsidRPr="00333FCF" w:rsidRDefault="00333FCF" w:rsidP="00333FCF">
      <w:pPr>
        <w:pStyle w:val="Heading4"/>
      </w:pPr>
      <w:r w:rsidRPr="00333FCF">
        <w:t>Candidemia in Non-neutropenic Patients and Other Deep Tissue Candida Infections</w:t>
      </w:r>
    </w:p>
    <w:p w14:paraId="624A4269" w14:textId="37F3A421" w:rsidR="00333FCF" w:rsidRPr="00333FCF" w:rsidRDefault="00333FCF" w:rsidP="00333FCF">
      <w:pPr>
        <w:pStyle w:val="BodyText"/>
      </w:pPr>
      <w:r w:rsidRPr="00333FCF">
        <w:t>Vfend is indicated in adults and pediatric patients (2 years of age and older) for the treatment of candidemia in non-neutropenic patients and the following Candida infections: disseminated infections in skin and infections in abdomen, kidney, bladder wall, and wounds.</w:t>
      </w:r>
    </w:p>
    <w:p w14:paraId="55E28F3C" w14:textId="18EC6932" w:rsidR="00333FCF" w:rsidRPr="00333FCF" w:rsidRDefault="00333FCF" w:rsidP="00333FCF">
      <w:pPr>
        <w:pStyle w:val="Heading4"/>
      </w:pPr>
      <w:r w:rsidRPr="00333FCF">
        <w:t>Esophageal Candidiasis</w:t>
      </w:r>
    </w:p>
    <w:p w14:paraId="134882D4" w14:textId="3D22994A" w:rsidR="00333FCF" w:rsidRPr="00333FCF" w:rsidRDefault="00333FCF" w:rsidP="00333FCF">
      <w:pPr>
        <w:pStyle w:val="BodyText"/>
      </w:pPr>
      <w:r w:rsidRPr="00333FCF">
        <w:t>Vfend is indicated in adults and pediatric patients (2 years of age and older) for the treatment of esophageal candidiasis (EC)</w:t>
      </w:r>
      <w:r w:rsidR="00FD43B7">
        <w:t>.</w:t>
      </w:r>
    </w:p>
    <w:p w14:paraId="5FCFC991" w14:textId="65B902A8" w:rsidR="00333FCF" w:rsidRPr="00333FCF" w:rsidRDefault="00333FCF" w:rsidP="00333FCF">
      <w:pPr>
        <w:pStyle w:val="Heading4"/>
      </w:pPr>
      <w:proofErr w:type="spellStart"/>
      <w:r w:rsidRPr="00333FCF">
        <w:lastRenderedPageBreak/>
        <w:t>Scedosporiosis</w:t>
      </w:r>
      <w:proofErr w:type="spellEnd"/>
      <w:r w:rsidRPr="00333FCF">
        <w:t xml:space="preserve"> and </w:t>
      </w:r>
      <w:proofErr w:type="spellStart"/>
      <w:r w:rsidRPr="00333FCF">
        <w:t>Fusariosis</w:t>
      </w:r>
      <w:proofErr w:type="spellEnd"/>
    </w:p>
    <w:p w14:paraId="35681E21" w14:textId="05A7E417" w:rsidR="00333FCF" w:rsidRDefault="00333FCF" w:rsidP="00333FCF">
      <w:pPr>
        <w:pStyle w:val="BodyText"/>
      </w:pPr>
      <w:r w:rsidRPr="00333FCF">
        <w:t>Vfend is indicated for the treatment of serious fungal infections caused by Scedosporium apiospermum (asexual form of Pseudallescheria boydii) and Fusarium spp. including Fusarium solani, in adults and pediatric patients (2 years of age and older) intolerant of, or refractory to, other therapy.</w:t>
      </w:r>
    </w:p>
    <w:p w14:paraId="204AF755" w14:textId="262A8A2B" w:rsidR="00D33747" w:rsidRPr="00333FCF" w:rsidRDefault="00D33747" w:rsidP="00D33747">
      <w:pPr>
        <w:pStyle w:val="Heading4"/>
      </w:pPr>
      <w:r>
        <w:t>Usage</w:t>
      </w:r>
    </w:p>
    <w:p w14:paraId="41F8D737" w14:textId="295111E0" w:rsidR="00333FCF" w:rsidRPr="00333FCF" w:rsidRDefault="00333FCF" w:rsidP="00333FCF">
      <w:pPr>
        <w:pStyle w:val="BodyText"/>
      </w:pPr>
      <w:r w:rsidRPr="00333FCF">
        <w:t>Specimens for fungal culture and other relevant laboratory studies (including histopathology) should be obtained prior to therapy to isolate and identify causative organism(s). Therapy may be instituted before the results of the cultures and other laboratory studies are known. However, once these results become available, antifungal therapy should be adjusted accordingly.</w:t>
      </w:r>
    </w:p>
    <w:p w14:paraId="02653AEA" w14:textId="77777777" w:rsidR="00333FCF" w:rsidRPr="00333FCF" w:rsidRDefault="00333FCF" w:rsidP="00333FCF">
      <w:pPr>
        <w:pStyle w:val="Heading4"/>
      </w:pPr>
      <w:r w:rsidRPr="00333FCF">
        <w:t>Compendial Uses</w:t>
      </w:r>
    </w:p>
    <w:p w14:paraId="0091E5FF" w14:textId="3C0B097C" w:rsidR="00333FCF" w:rsidRPr="00333FCF" w:rsidRDefault="00333FCF" w:rsidP="00752BEF">
      <w:pPr>
        <w:pStyle w:val="ListParagraph"/>
      </w:pPr>
      <w:r w:rsidRPr="00333FCF">
        <w:t>Febrile Neutropenia, Empiric Antifungal Therapy, High-Risk Patients</w:t>
      </w:r>
      <w:r w:rsidRPr="009C4226">
        <w:rPr>
          <w:vertAlign w:val="superscript"/>
        </w:rPr>
        <w:t>2,3,</w:t>
      </w:r>
      <w:r w:rsidR="00D71739">
        <w:rPr>
          <w:vertAlign w:val="superscript"/>
        </w:rPr>
        <w:t>9,11</w:t>
      </w:r>
    </w:p>
    <w:p w14:paraId="39ABB01F" w14:textId="2CB41862" w:rsidR="002E2B8F" w:rsidRDefault="002E2B8F" w:rsidP="002E2B8F">
      <w:pPr>
        <w:pStyle w:val="ListParagraph"/>
      </w:pPr>
      <w:r w:rsidRPr="001F68ED">
        <w:t>Fungal</w:t>
      </w:r>
      <w:r>
        <w:t xml:space="preserve"> </w:t>
      </w:r>
      <w:r w:rsidRPr="001F68ED">
        <w:t>Peritoneal Dialysis-Associated Peritonitis</w:t>
      </w:r>
      <w:r>
        <w:rPr>
          <w:vertAlign w:val="superscript"/>
        </w:rPr>
        <w:t>3,6</w:t>
      </w:r>
    </w:p>
    <w:p w14:paraId="783129F3" w14:textId="0E77A341" w:rsidR="00333FCF" w:rsidRPr="00333FCF" w:rsidRDefault="00333FCF" w:rsidP="00752BEF">
      <w:pPr>
        <w:pStyle w:val="ListParagraph"/>
      </w:pPr>
      <w:r w:rsidRPr="00333FCF">
        <w:t>Invasive Aspergillosis, Prophylaxis, High-Risk Patients</w:t>
      </w:r>
      <w:r w:rsidRPr="009C4226">
        <w:rPr>
          <w:vertAlign w:val="superscript"/>
        </w:rPr>
        <w:t>3,</w:t>
      </w:r>
      <w:r w:rsidR="00B2770E">
        <w:rPr>
          <w:vertAlign w:val="superscript"/>
        </w:rPr>
        <w:t>9</w:t>
      </w:r>
    </w:p>
    <w:p w14:paraId="1123369A" w14:textId="77777777" w:rsidR="00333FCF" w:rsidRPr="00333FCF" w:rsidRDefault="00333FCF" w:rsidP="00752BEF">
      <w:pPr>
        <w:pStyle w:val="ListParagraph"/>
      </w:pPr>
      <w:r w:rsidRPr="00333FCF">
        <w:t>Mycosis, Due to Scedosporium prolificans</w:t>
      </w:r>
      <w:r w:rsidRPr="009C4226">
        <w:rPr>
          <w:vertAlign w:val="superscript"/>
        </w:rPr>
        <w:t>3</w:t>
      </w:r>
    </w:p>
    <w:p w14:paraId="0EF264D3" w14:textId="1EBEB9D9" w:rsidR="00333FCF" w:rsidRPr="00333FCF" w:rsidRDefault="00333FCF" w:rsidP="00752BEF">
      <w:pPr>
        <w:pStyle w:val="ListParagraph"/>
      </w:pPr>
      <w:r w:rsidRPr="00333FCF">
        <w:t>Oropharyngeal Candidiasis</w:t>
      </w:r>
      <w:r w:rsidRPr="009C4226">
        <w:rPr>
          <w:vertAlign w:val="superscript"/>
        </w:rPr>
        <w:t>2,3,</w:t>
      </w:r>
      <w:r w:rsidR="00B2770E">
        <w:rPr>
          <w:vertAlign w:val="superscript"/>
        </w:rPr>
        <w:t>8</w:t>
      </w:r>
    </w:p>
    <w:p w14:paraId="763E0559" w14:textId="15EC8D61" w:rsidR="00333FCF" w:rsidRPr="00D452B4" w:rsidRDefault="00333FCF" w:rsidP="00752BEF">
      <w:pPr>
        <w:pStyle w:val="ListParagraph"/>
      </w:pPr>
      <w:r w:rsidRPr="00333FCF">
        <w:t>Pulmonary Aspergillosis, Chronic</w:t>
      </w:r>
      <w:r w:rsidRPr="00B77501">
        <w:rPr>
          <w:vertAlign w:val="superscript"/>
        </w:rPr>
        <w:t>3,</w:t>
      </w:r>
      <w:r w:rsidR="00B2770E">
        <w:rPr>
          <w:vertAlign w:val="superscript"/>
        </w:rPr>
        <w:t>9</w:t>
      </w:r>
    </w:p>
    <w:p w14:paraId="47CEB101" w14:textId="7D315160" w:rsidR="002E2B8F" w:rsidRPr="00333FCF" w:rsidRDefault="002E2B8F" w:rsidP="002E2B8F">
      <w:pPr>
        <w:pStyle w:val="ListParagraph"/>
      </w:pPr>
      <w:r>
        <w:t>Talaromycosis</w:t>
      </w:r>
      <w:r>
        <w:rPr>
          <w:vertAlign w:val="superscript"/>
        </w:rPr>
        <w:t>3,5,7</w:t>
      </w:r>
    </w:p>
    <w:p w14:paraId="50A38FBA" w14:textId="7DDE2278" w:rsidR="00FE0C63" w:rsidRDefault="00685107" w:rsidP="00E050E1">
      <w:pPr>
        <w:pStyle w:val="Heading2"/>
      </w:pPr>
      <w:r>
        <w:t>Coverage Criteria</w:t>
      </w:r>
    </w:p>
    <w:p w14:paraId="24AB607B" w14:textId="2C5E5DE0" w:rsidR="00333FCF" w:rsidRPr="00333FCF" w:rsidRDefault="00333FCF" w:rsidP="006B296D">
      <w:pPr>
        <w:pStyle w:val="Heading3"/>
      </w:pPr>
      <w:r w:rsidRPr="00333FCF">
        <w:t xml:space="preserve">Aspergillosis, Febrile Neutropenia, </w:t>
      </w:r>
      <w:r w:rsidR="009F726E">
        <w:t xml:space="preserve">Fungal Peritonitis, </w:t>
      </w:r>
      <w:r w:rsidRPr="00333FCF">
        <w:t>Mycosis, Serious Fungal Infection</w:t>
      </w:r>
    </w:p>
    <w:p w14:paraId="5DA11065" w14:textId="3CFC5C2A" w:rsidR="00333FCF" w:rsidRDefault="00333FCF" w:rsidP="00333FCF">
      <w:pPr>
        <w:pStyle w:val="BodyText"/>
      </w:pPr>
      <w:r>
        <w:t>Authorization may be granted for the requested drug when ALL of the following criteria are met:</w:t>
      </w:r>
    </w:p>
    <w:p w14:paraId="6778EFD6" w14:textId="77777777" w:rsidR="00333FCF" w:rsidRPr="006B296D" w:rsidRDefault="00333FCF" w:rsidP="00AE13E6">
      <w:pPr>
        <w:pStyle w:val="ListParagraph"/>
      </w:pPr>
      <w:r w:rsidRPr="006B296D">
        <w:t>The requested drug is being prescribed for ANY of the following:</w:t>
      </w:r>
    </w:p>
    <w:p w14:paraId="2595D68F" w14:textId="2788C40E" w:rsidR="00333FCF" w:rsidRPr="006B296D" w:rsidRDefault="00333FCF" w:rsidP="00AE13E6">
      <w:pPr>
        <w:pStyle w:val="ListParagraph"/>
        <w:numPr>
          <w:ilvl w:val="1"/>
          <w:numId w:val="21"/>
        </w:numPr>
      </w:pPr>
      <w:r w:rsidRPr="006B296D">
        <w:t>Treatment of invasive aspergillosis (including invasive pulmonary aspergillosis)</w:t>
      </w:r>
      <w:r w:rsidR="00482824">
        <w:t>.</w:t>
      </w:r>
    </w:p>
    <w:p w14:paraId="0055026C" w14:textId="10633CD8" w:rsidR="00333FCF" w:rsidRPr="006B296D" w:rsidRDefault="00333FCF" w:rsidP="00AE13E6">
      <w:pPr>
        <w:pStyle w:val="ListParagraph"/>
        <w:numPr>
          <w:ilvl w:val="1"/>
          <w:numId w:val="21"/>
        </w:numPr>
      </w:pPr>
      <w:r w:rsidRPr="006B296D">
        <w:t>Serious fungal infection caused by Scedosporium apiospermum and Fusarium species</w:t>
      </w:r>
      <w:r w:rsidR="00482824">
        <w:t>.</w:t>
      </w:r>
    </w:p>
    <w:p w14:paraId="584A8DE0" w14:textId="43C5FB47" w:rsidR="00333FCF" w:rsidRPr="006B296D" w:rsidRDefault="00333FCF" w:rsidP="00AE13E6">
      <w:pPr>
        <w:pStyle w:val="ListParagraph"/>
        <w:numPr>
          <w:ilvl w:val="1"/>
          <w:numId w:val="21"/>
        </w:numPr>
      </w:pPr>
      <w:r w:rsidRPr="006B296D">
        <w:t>Prophylaxis of invasive aspergillosis in a high-risk patient</w:t>
      </w:r>
      <w:r w:rsidR="00482824">
        <w:t>.</w:t>
      </w:r>
    </w:p>
    <w:p w14:paraId="3F319D66" w14:textId="65603B9C" w:rsidR="00333FCF" w:rsidRPr="006B296D" w:rsidRDefault="00333FCF" w:rsidP="00AE13E6">
      <w:pPr>
        <w:pStyle w:val="ListParagraph"/>
        <w:numPr>
          <w:ilvl w:val="1"/>
          <w:numId w:val="21"/>
        </w:numPr>
      </w:pPr>
      <w:r w:rsidRPr="006B296D">
        <w:t>Chronic pulmonary aspergillosis</w:t>
      </w:r>
      <w:r w:rsidR="00482824">
        <w:t>.</w:t>
      </w:r>
    </w:p>
    <w:p w14:paraId="46F623E2" w14:textId="6FD06390" w:rsidR="006B296D" w:rsidRDefault="00333FCF" w:rsidP="00AE13E6">
      <w:pPr>
        <w:pStyle w:val="ListParagraph"/>
        <w:numPr>
          <w:ilvl w:val="1"/>
          <w:numId w:val="21"/>
        </w:numPr>
      </w:pPr>
      <w:r w:rsidRPr="006B296D">
        <w:t>Empiric antifungal therapy for febrile neutropenia in a high-risk patient</w:t>
      </w:r>
      <w:r w:rsidR="00482824">
        <w:t>.</w:t>
      </w:r>
    </w:p>
    <w:p w14:paraId="508DD83B" w14:textId="72BC7FD3" w:rsidR="00B964DF" w:rsidRDefault="00333FCF" w:rsidP="00B104E7">
      <w:pPr>
        <w:pStyle w:val="ListParagraph"/>
        <w:numPr>
          <w:ilvl w:val="1"/>
          <w:numId w:val="21"/>
        </w:numPr>
      </w:pPr>
      <w:r w:rsidRPr="006B296D">
        <w:t xml:space="preserve">Mycosis due to </w:t>
      </w:r>
      <w:proofErr w:type="spellStart"/>
      <w:r w:rsidRPr="006B296D">
        <w:t>Scedosporium</w:t>
      </w:r>
      <w:proofErr w:type="spellEnd"/>
      <w:r w:rsidRPr="006B296D">
        <w:t xml:space="preserve"> </w:t>
      </w:r>
      <w:proofErr w:type="spellStart"/>
      <w:r w:rsidRPr="006B296D">
        <w:t>prolificans</w:t>
      </w:r>
      <w:proofErr w:type="spellEnd"/>
      <w:r w:rsidR="00482824">
        <w:t>.</w:t>
      </w:r>
    </w:p>
    <w:p w14:paraId="73E1977A" w14:textId="698D96D5" w:rsidR="009F726E" w:rsidRDefault="009F726E" w:rsidP="009F726E">
      <w:pPr>
        <w:pStyle w:val="ListParagraph"/>
        <w:numPr>
          <w:ilvl w:val="1"/>
          <w:numId w:val="21"/>
        </w:numPr>
      </w:pPr>
      <w:r w:rsidRPr="001F68ED">
        <w:t>Fungal</w:t>
      </w:r>
      <w:r>
        <w:t xml:space="preserve"> </w:t>
      </w:r>
      <w:r w:rsidRPr="001F68ED">
        <w:t>Peritoneal Dialysis-Associated Peritonitis</w:t>
      </w:r>
      <w:r w:rsidR="00482824">
        <w:t>.</w:t>
      </w:r>
    </w:p>
    <w:p w14:paraId="50745161" w14:textId="6FB217B9" w:rsidR="00333FCF" w:rsidRPr="00893B0A" w:rsidRDefault="00333FCF" w:rsidP="00AE13E6">
      <w:pPr>
        <w:pStyle w:val="ListParagraph"/>
      </w:pPr>
      <w:r w:rsidRPr="00893B0A">
        <w:t>The patient will use the requested drug orally or intravenously</w:t>
      </w:r>
      <w:r w:rsidR="00482824">
        <w:t>.</w:t>
      </w:r>
    </w:p>
    <w:p w14:paraId="1AD5489D" w14:textId="501546E1" w:rsidR="00FF5A20" w:rsidRDefault="00333FCF" w:rsidP="00AE13E6">
      <w:pPr>
        <w:pStyle w:val="ListParagraph"/>
      </w:pPr>
      <w:r w:rsidRPr="00893B0A">
        <w:t xml:space="preserve">If the request is for </w:t>
      </w:r>
      <w:r w:rsidRPr="006B296D">
        <w:t>voriconazole powder for oral suspension, the patient meets ONE of the following: has difficulty swallowing solid oral dosage forms (e.g., tablets), requires a dose that cannot be obtained using the commercially available tablets</w:t>
      </w:r>
      <w:r w:rsidR="00482824">
        <w:t>.</w:t>
      </w:r>
    </w:p>
    <w:p w14:paraId="664E0E37" w14:textId="680BDBD7" w:rsidR="00333FCF" w:rsidRPr="006B296D" w:rsidRDefault="00333FCF" w:rsidP="00FF5A20">
      <w:pPr>
        <w:pStyle w:val="Heading3"/>
      </w:pPr>
      <w:r w:rsidRPr="006B296D">
        <w:t>Candida Infection</w:t>
      </w:r>
      <w:r w:rsidR="00D85D4D">
        <w:t xml:space="preserve">, </w:t>
      </w:r>
      <w:proofErr w:type="spellStart"/>
      <w:r w:rsidR="00D85D4D">
        <w:t>Talaromycosis</w:t>
      </w:r>
      <w:proofErr w:type="spellEnd"/>
    </w:p>
    <w:p w14:paraId="71FC6BA0" w14:textId="749C671F" w:rsidR="006B296D" w:rsidRDefault="00333FCF" w:rsidP="006B296D">
      <w:pPr>
        <w:tabs>
          <w:tab w:val="left" w:pos="720"/>
          <w:tab w:val="left" w:pos="2880"/>
        </w:tabs>
        <w:rPr>
          <w:rFonts w:cs="Arial"/>
          <w:szCs w:val="22"/>
        </w:rPr>
      </w:pPr>
      <w:r w:rsidRPr="006B296D">
        <w:rPr>
          <w:rFonts w:cs="Arial"/>
          <w:szCs w:val="22"/>
        </w:rPr>
        <w:t xml:space="preserve">Authorization may be granted for the requested drug when ALL of the following criteria </w:t>
      </w:r>
      <w:r w:rsidR="00482824">
        <w:rPr>
          <w:rFonts w:cs="Arial"/>
          <w:szCs w:val="22"/>
        </w:rPr>
        <w:t>are</w:t>
      </w:r>
      <w:r w:rsidR="00482824" w:rsidRPr="006B296D">
        <w:rPr>
          <w:rFonts w:cs="Arial"/>
          <w:szCs w:val="22"/>
        </w:rPr>
        <w:t xml:space="preserve"> </w:t>
      </w:r>
      <w:r w:rsidRPr="006B296D">
        <w:rPr>
          <w:rFonts w:cs="Arial"/>
          <w:szCs w:val="22"/>
        </w:rPr>
        <w:t>met:</w:t>
      </w:r>
    </w:p>
    <w:p w14:paraId="7B14F7DE" w14:textId="5339F86E" w:rsidR="00333FCF" w:rsidRPr="006B296D" w:rsidRDefault="00333FCF" w:rsidP="00AE13E6">
      <w:pPr>
        <w:pStyle w:val="ListParagraph"/>
      </w:pPr>
      <w:r w:rsidRPr="006B296D">
        <w:t>The requested drug is being prescribed for ANY of the following:</w:t>
      </w:r>
    </w:p>
    <w:p w14:paraId="6E75F462" w14:textId="779074CE" w:rsidR="00333FCF" w:rsidRPr="006B296D" w:rsidRDefault="00333FCF" w:rsidP="00AE13E6">
      <w:pPr>
        <w:pStyle w:val="ListParagraph"/>
        <w:numPr>
          <w:ilvl w:val="1"/>
          <w:numId w:val="21"/>
        </w:numPr>
      </w:pPr>
      <w:r w:rsidRPr="006B296D">
        <w:t>Candidemia in a non-neutropenic patient</w:t>
      </w:r>
      <w:r w:rsidR="00482824">
        <w:t>.</w:t>
      </w:r>
    </w:p>
    <w:p w14:paraId="3E2D53CE" w14:textId="51346E0B" w:rsidR="00333FCF" w:rsidRPr="006B296D" w:rsidRDefault="00333FCF" w:rsidP="00AE13E6">
      <w:pPr>
        <w:pStyle w:val="ListParagraph"/>
        <w:numPr>
          <w:ilvl w:val="1"/>
          <w:numId w:val="21"/>
        </w:numPr>
      </w:pPr>
      <w:r w:rsidRPr="006B296D">
        <w:t>Disseminated Candida infection in the skin</w:t>
      </w:r>
      <w:r w:rsidR="00482824">
        <w:t>.</w:t>
      </w:r>
    </w:p>
    <w:p w14:paraId="6BF4D795" w14:textId="10D7C9C0" w:rsidR="00333FCF" w:rsidRPr="006B296D" w:rsidRDefault="00333FCF" w:rsidP="00AE13E6">
      <w:pPr>
        <w:pStyle w:val="ListParagraph"/>
        <w:numPr>
          <w:ilvl w:val="1"/>
          <w:numId w:val="21"/>
        </w:numPr>
      </w:pPr>
      <w:r w:rsidRPr="006B296D">
        <w:t>Candida infection in the abdomen, kidney, bladder wall, or wounds</w:t>
      </w:r>
      <w:r w:rsidR="00482824">
        <w:t>.</w:t>
      </w:r>
    </w:p>
    <w:p w14:paraId="2AFF4F7D" w14:textId="1F2F8068" w:rsidR="00333FCF" w:rsidRPr="006B296D" w:rsidRDefault="00333FCF" w:rsidP="00AE13E6">
      <w:pPr>
        <w:pStyle w:val="ListParagraph"/>
        <w:numPr>
          <w:ilvl w:val="1"/>
          <w:numId w:val="21"/>
        </w:numPr>
      </w:pPr>
      <w:r w:rsidRPr="006B296D">
        <w:t>Esophageal candidiasis</w:t>
      </w:r>
      <w:r w:rsidR="00482824">
        <w:t>.</w:t>
      </w:r>
    </w:p>
    <w:p w14:paraId="1F9938AB" w14:textId="67A3BCC8" w:rsidR="00333FCF" w:rsidRDefault="00333FCF" w:rsidP="00AE13E6">
      <w:pPr>
        <w:pStyle w:val="ListParagraph"/>
        <w:numPr>
          <w:ilvl w:val="1"/>
          <w:numId w:val="21"/>
        </w:numPr>
      </w:pPr>
      <w:r w:rsidRPr="006B296D">
        <w:t>Oropharyngeal candidiasis</w:t>
      </w:r>
      <w:r w:rsidR="00482824">
        <w:t>.</w:t>
      </w:r>
    </w:p>
    <w:p w14:paraId="0B61436B" w14:textId="61E1FCC0" w:rsidR="00A0031D" w:rsidRDefault="00A0031D" w:rsidP="00D452B4">
      <w:pPr>
        <w:pStyle w:val="ListParagraph"/>
        <w:numPr>
          <w:ilvl w:val="1"/>
          <w:numId w:val="21"/>
        </w:numPr>
      </w:pPr>
      <w:proofErr w:type="spellStart"/>
      <w:r>
        <w:t>Talaromycosis</w:t>
      </w:r>
      <w:proofErr w:type="spellEnd"/>
      <w:r w:rsidR="00482824">
        <w:t>.</w:t>
      </w:r>
    </w:p>
    <w:p w14:paraId="541FABD2" w14:textId="77777777" w:rsidR="00333FCF" w:rsidRPr="006B296D" w:rsidRDefault="00333FCF" w:rsidP="00AE13E6">
      <w:pPr>
        <w:pStyle w:val="ListParagraph"/>
      </w:pPr>
      <w:r w:rsidRPr="006B296D">
        <w:t>The patient meets ONE of the following criteria:</w:t>
      </w:r>
    </w:p>
    <w:p w14:paraId="5E0F7DDD" w14:textId="6AC2139A" w:rsidR="00333FCF" w:rsidRPr="006B296D" w:rsidRDefault="00333FCF" w:rsidP="00AE13E6">
      <w:pPr>
        <w:pStyle w:val="ListParagraph"/>
        <w:numPr>
          <w:ilvl w:val="1"/>
          <w:numId w:val="21"/>
        </w:numPr>
      </w:pPr>
      <w:r w:rsidRPr="006B296D">
        <w:t>The patient has experienced an inadequate treatment response to an alternative antifungal therapy</w:t>
      </w:r>
      <w:r w:rsidR="00482824">
        <w:t>.</w:t>
      </w:r>
    </w:p>
    <w:p w14:paraId="135C7AAE" w14:textId="2BB6D132" w:rsidR="00333FCF" w:rsidRPr="006B296D" w:rsidRDefault="00333FCF" w:rsidP="00AE13E6">
      <w:pPr>
        <w:pStyle w:val="ListParagraph"/>
        <w:numPr>
          <w:ilvl w:val="1"/>
          <w:numId w:val="21"/>
        </w:numPr>
      </w:pPr>
      <w:r w:rsidRPr="006B296D">
        <w:t>The patient has experienced an intolerance to an alternative antifungal therapy</w:t>
      </w:r>
      <w:r w:rsidR="00482824">
        <w:t>.</w:t>
      </w:r>
    </w:p>
    <w:p w14:paraId="5DDB0E32" w14:textId="6E0D43CA" w:rsidR="00333FCF" w:rsidRPr="006B296D" w:rsidRDefault="00333FCF" w:rsidP="00AE13E6">
      <w:pPr>
        <w:pStyle w:val="ListParagraph"/>
        <w:numPr>
          <w:ilvl w:val="1"/>
          <w:numId w:val="21"/>
        </w:numPr>
      </w:pPr>
      <w:r w:rsidRPr="006B296D">
        <w:t>The patient has a contraindication that would prohibit a trial of an alternative antifungal therapy</w:t>
      </w:r>
      <w:r w:rsidR="00482824">
        <w:t>.</w:t>
      </w:r>
    </w:p>
    <w:p w14:paraId="37BC7BB7" w14:textId="1306A693" w:rsidR="00333FCF" w:rsidRPr="006B296D" w:rsidRDefault="00333FCF" w:rsidP="00AE13E6">
      <w:pPr>
        <w:pStyle w:val="ListParagraph"/>
      </w:pPr>
      <w:r w:rsidRPr="006B296D">
        <w:t>The patient will use the requested drug orally or intravenously</w:t>
      </w:r>
      <w:r w:rsidR="00482824">
        <w:t>.</w:t>
      </w:r>
    </w:p>
    <w:p w14:paraId="54E2F65E" w14:textId="54498590" w:rsidR="00333FCF" w:rsidRPr="006B296D" w:rsidRDefault="00333FCF" w:rsidP="00AE13E6">
      <w:pPr>
        <w:pStyle w:val="ListParagraph"/>
      </w:pPr>
      <w:r w:rsidRPr="006B296D">
        <w:t>If the request is for voriconazole powder for oral suspension, the patient meets ONE of the following: has difficulty swallowing solid oral dosage forms (e.g., tablets), requires a dose that cannot be obtained using the commercially available tablets</w:t>
      </w:r>
      <w:r w:rsidR="00482824">
        <w:t>.</w:t>
      </w:r>
    </w:p>
    <w:p w14:paraId="352C7EBA" w14:textId="68CB60B7" w:rsidR="00333FCF" w:rsidRPr="00767576" w:rsidRDefault="00333FCF" w:rsidP="00752BEF">
      <w:pPr>
        <w:pStyle w:val="Heading2"/>
      </w:pPr>
      <w:r w:rsidRPr="00767576">
        <w:t>Duration of Approval (DOA)</w:t>
      </w:r>
    </w:p>
    <w:p w14:paraId="0706790B" w14:textId="77777777" w:rsidR="00333FCF" w:rsidRPr="006B296D" w:rsidRDefault="00333FCF" w:rsidP="00AE13E6">
      <w:pPr>
        <w:pStyle w:val="ListParagraph"/>
      </w:pPr>
      <w:r w:rsidRPr="006B296D">
        <w:t>241-A: DOA: 6 months</w:t>
      </w:r>
    </w:p>
    <w:p w14:paraId="10DA4309" w14:textId="67A849A7" w:rsidR="00FF66BF" w:rsidRPr="008D1B34" w:rsidRDefault="00FF66BF" w:rsidP="00FF66BF">
      <w:pPr>
        <w:pStyle w:val="Heading2"/>
      </w:pPr>
      <w:r w:rsidRPr="008D1B34">
        <w:t>References</w:t>
      </w:r>
    </w:p>
    <w:p w14:paraId="0B9D9323" w14:textId="0233D7E0" w:rsidR="006B296D" w:rsidRPr="008B2F1F" w:rsidRDefault="006B296D" w:rsidP="008B2F1F">
      <w:pPr>
        <w:pStyle w:val="ReferenceOrdered"/>
      </w:pPr>
      <w:bookmarkStart w:id="1" w:name="OLE_LINK3"/>
      <w:r w:rsidRPr="008B2F1F">
        <w:t xml:space="preserve">Vfend [package insert]. New York, New York: </w:t>
      </w:r>
      <w:proofErr w:type="spellStart"/>
      <w:r w:rsidRPr="008B2F1F">
        <w:t>Roerig</w:t>
      </w:r>
      <w:proofErr w:type="spellEnd"/>
      <w:r w:rsidRPr="008B2F1F">
        <w:t xml:space="preserve">, Division of Pfizer Inc.; </w:t>
      </w:r>
      <w:r w:rsidR="004875EB">
        <w:t>August</w:t>
      </w:r>
      <w:r w:rsidR="004875EB" w:rsidRPr="008B2F1F">
        <w:t xml:space="preserve"> </w:t>
      </w:r>
      <w:r w:rsidRPr="008B2F1F">
        <w:t>202</w:t>
      </w:r>
      <w:r w:rsidR="004875EB">
        <w:t>4</w:t>
      </w:r>
      <w:r w:rsidRPr="008B2F1F">
        <w:t>.</w:t>
      </w:r>
    </w:p>
    <w:p w14:paraId="7CB0571C" w14:textId="47FB16D4" w:rsidR="00FF5A20" w:rsidRPr="008B2F1F" w:rsidRDefault="006B296D" w:rsidP="008B2F1F">
      <w:pPr>
        <w:pStyle w:val="ReferenceOrdered"/>
      </w:pPr>
      <w:r w:rsidRPr="008B2F1F">
        <w:t>Lexicomp Online, AHFS DI (Adult and Pediatric) Online. Waltham, MA: UpToDate, Inc.; 202</w:t>
      </w:r>
      <w:r w:rsidR="004875EB">
        <w:t>4</w:t>
      </w:r>
      <w:r w:rsidRPr="008B2F1F">
        <w:t xml:space="preserve">. https://online.lexi.com. Accessed December </w:t>
      </w:r>
      <w:r w:rsidR="00C64916">
        <w:t>2</w:t>
      </w:r>
      <w:r w:rsidRPr="008B2F1F">
        <w:t>, 202</w:t>
      </w:r>
      <w:r w:rsidR="00C64916">
        <w:t>4</w:t>
      </w:r>
      <w:r w:rsidRPr="008B2F1F">
        <w:t>.</w:t>
      </w:r>
    </w:p>
    <w:p w14:paraId="3D17AF36" w14:textId="694477B1" w:rsidR="006B296D" w:rsidRPr="008B2F1F" w:rsidRDefault="006B296D" w:rsidP="008B2F1F">
      <w:pPr>
        <w:pStyle w:val="ReferenceOrdered"/>
      </w:pPr>
      <w:r w:rsidRPr="008B2F1F">
        <w:t>Micromedex (electronic version). Merative, Ann Arbor, Michigan, USA. Available at: https://www.micromedexsolutions.com/ (cited: 12/</w:t>
      </w:r>
      <w:r w:rsidR="00C64916">
        <w:t>2</w:t>
      </w:r>
      <w:r w:rsidRPr="008B2F1F">
        <w:t>/202</w:t>
      </w:r>
      <w:r w:rsidR="00C64916">
        <w:t>4</w:t>
      </w:r>
      <w:r w:rsidRPr="008B2F1F">
        <w:t>).</w:t>
      </w:r>
    </w:p>
    <w:p w14:paraId="50A99072" w14:textId="6A4812D9" w:rsidR="006B296D" w:rsidRDefault="006B296D" w:rsidP="008B2F1F">
      <w:pPr>
        <w:pStyle w:val="ReferenceOrdered"/>
      </w:pPr>
      <w:r w:rsidRPr="008B2F1F">
        <w:t xml:space="preserve">Centers for Disease Control and Prevention. </w:t>
      </w:r>
      <w:r w:rsidR="00C3110D">
        <w:t>Aspergillosis Basics</w:t>
      </w:r>
      <w:r w:rsidRPr="008B2F1F">
        <w:t xml:space="preserve">. Available at: </w:t>
      </w:r>
      <w:bookmarkStart w:id="2" w:name="OLE_LINK1"/>
      <w:bookmarkStart w:id="3" w:name="OLE_LINK2"/>
      <w:r w:rsidR="005F6396" w:rsidRPr="00D452B4">
        <w:t>https://www.cdc.gov/aspergillosis/about/index.html</w:t>
      </w:r>
      <w:r w:rsidR="005F6396">
        <w:t xml:space="preserve">. </w:t>
      </w:r>
      <w:bookmarkEnd w:id="2"/>
      <w:bookmarkEnd w:id="3"/>
      <w:r w:rsidRPr="00AE13E6">
        <w:t>Accessed December 1</w:t>
      </w:r>
      <w:r w:rsidR="00C64916">
        <w:t>1</w:t>
      </w:r>
      <w:r w:rsidRPr="008B2F1F">
        <w:t>, 202</w:t>
      </w:r>
      <w:r w:rsidR="00C64916">
        <w:t>4</w:t>
      </w:r>
      <w:r w:rsidRPr="008B2F1F">
        <w:t>.</w:t>
      </w:r>
    </w:p>
    <w:p w14:paraId="799A1DA4" w14:textId="4E2ACC80" w:rsidR="005F6396" w:rsidRPr="008B2F1F" w:rsidRDefault="005F6396" w:rsidP="008B2F1F">
      <w:pPr>
        <w:pStyle w:val="ReferenceOrdered"/>
      </w:pPr>
      <w:r w:rsidRPr="008B2F1F">
        <w:t xml:space="preserve">Centers for Disease Control and Prevention. </w:t>
      </w:r>
      <w:proofErr w:type="spellStart"/>
      <w:r w:rsidR="004F0AEB">
        <w:t>Talaromycosis</w:t>
      </w:r>
      <w:proofErr w:type="spellEnd"/>
      <w:r w:rsidR="004F0AEB">
        <w:t xml:space="preserve"> (</w:t>
      </w:r>
      <w:proofErr w:type="spellStart"/>
      <w:r w:rsidR="004F0AEB">
        <w:t>Penicilliosis</w:t>
      </w:r>
      <w:proofErr w:type="spellEnd"/>
      <w:r w:rsidR="004F0AEB">
        <w:t>) Basics.</w:t>
      </w:r>
      <w:r w:rsidRPr="008B2F1F">
        <w:t xml:space="preserve"> Available at:</w:t>
      </w:r>
      <w:r w:rsidR="004F0AEB">
        <w:t xml:space="preserve"> </w:t>
      </w:r>
      <w:r w:rsidR="00287767" w:rsidRPr="00D452B4">
        <w:t>https://www.cdc.gov/talaromycosis/about/index.html</w:t>
      </w:r>
      <w:r w:rsidR="00287767">
        <w:t>. Accessed December 11, 2024.</w:t>
      </w:r>
    </w:p>
    <w:p w14:paraId="6543507A" w14:textId="6B5360BF" w:rsidR="00F6008C" w:rsidRDefault="00F6008C" w:rsidP="008B2F1F">
      <w:pPr>
        <w:pStyle w:val="ReferenceOrdered"/>
      </w:pPr>
      <w:bookmarkStart w:id="4" w:name="OLE_LINK6"/>
      <w:bookmarkStart w:id="5" w:name="OLE_LINK60"/>
      <w:r w:rsidRPr="00F6008C">
        <w:t>Li, Philip Kam-Tao et al. ISPD peritonitis guideline recommendations: 2022 update on prevention and treatment. </w:t>
      </w:r>
      <w:r w:rsidRPr="00D452B4">
        <w:t>Peritoneal dialysis international : journal of the International Society for Peritoneal Dialysis</w:t>
      </w:r>
      <w:r w:rsidRPr="00F6008C">
        <w:t> vol. 42,2 (2022): 110-153</w:t>
      </w:r>
    </w:p>
    <w:p w14:paraId="52788290" w14:textId="165C12A0" w:rsidR="0011567F" w:rsidRDefault="0011567F" w:rsidP="008B2F1F">
      <w:pPr>
        <w:pStyle w:val="ReferenceOrdered"/>
      </w:pPr>
      <w:r w:rsidRPr="002D3B28">
        <w:t xml:space="preserve">Panel on Guidelines for the Prevention and Treatment of Opportunistic Infections in Adults and Adolescents with HIV. Guidelines for the Prevention and Treatment of Opportunistic Infections in Adults and Adolescents with HIV. National Institutes of Health, Centers for Disease Control and Prevention, HIV Medicine Association, and Infectious Diseases Society of America. Available at </w:t>
      </w:r>
      <w:bookmarkEnd w:id="4"/>
      <w:r w:rsidRPr="000D4261">
        <w:t xml:space="preserve">https://clinicalinfo.hiv.gov/en/guidelines/adult-and-adolescent-opportunistic-infection. Accessed </w:t>
      </w:r>
      <w:r>
        <w:t xml:space="preserve">December 3, </w:t>
      </w:r>
      <w:r w:rsidRPr="002D3B28">
        <w:t>202</w:t>
      </w:r>
      <w:r>
        <w:t>4</w:t>
      </w:r>
      <w:r w:rsidR="00CB6054">
        <w:t>.</w:t>
      </w:r>
    </w:p>
    <w:p w14:paraId="1417397D" w14:textId="635BC3EF" w:rsidR="006B296D" w:rsidRPr="008B2F1F" w:rsidRDefault="006B296D" w:rsidP="008B2F1F">
      <w:pPr>
        <w:pStyle w:val="ReferenceOrdered"/>
      </w:pPr>
      <w:r w:rsidRPr="008B2F1F">
        <w:t xml:space="preserve">Pappas PG, Kauffman CA, Andes DR, et al. Clinical Practice Guideline for the Management of Candidiasis: 2016 Update by the Infectious Diseases Society of America. </w:t>
      </w:r>
      <w:r w:rsidRPr="00AE13E6">
        <w:t>Clin Infect Dis</w:t>
      </w:r>
      <w:r w:rsidRPr="008B2F1F">
        <w:t xml:space="preserve"> 2016;62(4):e1-50.</w:t>
      </w:r>
    </w:p>
    <w:p w14:paraId="5A051C3E" w14:textId="77777777" w:rsidR="006B296D" w:rsidRPr="008B2F1F" w:rsidRDefault="006B296D" w:rsidP="008B2F1F">
      <w:pPr>
        <w:pStyle w:val="ReferenceOrdered"/>
      </w:pPr>
      <w:bookmarkStart w:id="6" w:name="OLE_LINK61"/>
      <w:bookmarkEnd w:id="5"/>
      <w:r w:rsidRPr="008B2F1F">
        <w:t xml:space="preserve">Patterson TF, Thompson III GR, Denning DW, et al. Practice Guidelines for the Diagnosis and Management of Aspergillosis: 2016 Update by the Infectious Diseases Society of America. </w:t>
      </w:r>
      <w:r w:rsidRPr="00AE13E6">
        <w:t>Clin Infect Dis</w:t>
      </w:r>
      <w:r w:rsidRPr="008B2F1F">
        <w:t xml:space="preserve"> 2016;63(4):e1-60.</w:t>
      </w:r>
    </w:p>
    <w:p w14:paraId="11195A55" w14:textId="77777777" w:rsidR="006B296D" w:rsidRPr="008B2F1F" w:rsidRDefault="006B296D" w:rsidP="008B2F1F">
      <w:pPr>
        <w:pStyle w:val="ReferenceOrdered"/>
      </w:pPr>
      <w:bookmarkStart w:id="7" w:name="OLE_LINK62"/>
      <w:bookmarkEnd w:id="6"/>
      <w:r w:rsidRPr="008B2F1F">
        <w:t xml:space="preserve">Stevens DL, Bisno AL, Chambers HF, et al. Practice Guidelines for the Diagnosis and Management of Skin and Soft Tissue Infections: 2014 Update by the Infectious Diseases Society of America. </w:t>
      </w:r>
      <w:r w:rsidRPr="00AE13E6">
        <w:t>Clin Infect Dis</w:t>
      </w:r>
      <w:r w:rsidRPr="008B2F1F">
        <w:t xml:space="preserve"> 2014;59(2):e10-52.</w:t>
      </w:r>
    </w:p>
    <w:p w14:paraId="2CB7D69D" w14:textId="0AA8C67D" w:rsidR="00767576" w:rsidRPr="008B2F1F" w:rsidRDefault="006B296D" w:rsidP="008B2F1F">
      <w:pPr>
        <w:pStyle w:val="ReferenceOrdered"/>
      </w:pPr>
      <w:bookmarkStart w:id="8" w:name="OLE_LINK63"/>
      <w:bookmarkEnd w:id="7"/>
      <w:proofErr w:type="spellStart"/>
      <w:r w:rsidRPr="008B2F1F">
        <w:t>Freifeld</w:t>
      </w:r>
      <w:proofErr w:type="spellEnd"/>
      <w:r w:rsidRPr="008B2F1F">
        <w:t xml:space="preserve"> AG, Bow EJ, </w:t>
      </w:r>
      <w:proofErr w:type="spellStart"/>
      <w:r w:rsidRPr="008B2F1F">
        <w:t>Sepkowitz</w:t>
      </w:r>
      <w:proofErr w:type="spellEnd"/>
      <w:r w:rsidRPr="008B2F1F">
        <w:t xml:space="preserve"> KA et al. Clinical Practice Guideline for the Use of Antimicrobial Agents in Neutropenic Patients with Cancer: 2010 Update by the Infectious Diseases Society of America. Clin Infect Dis 2011:52(4):e56-93.</w:t>
      </w:r>
      <w:bookmarkEnd w:id="1"/>
      <w:bookmarkEnd w:id="8"/>
    </w:p>
    <w:sectPr w:rsidR="00767576" w:rsidRPr="008B2F1F" w:rsidSect="00AE13E6">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D1A2D" w14:textId="77777777" w:rsidR="009E700E" w:rsidRDefault="009E700E">
      <w:r>
        <w:separator/>
      </w:r>
    </w:p>
  </w:endnote>
  <w:endnote w:type="continuationSeparator" w:id="0">
    <w:p w14:paraId="5342A201" w14:textId="77777777" w:rsidR="009E700E" w:rsidRDefault="009E700E">
      <w:r>
        <w:continuationSeparator/>
      </w:r>
    </w:p>
  </w:endnote>
  <w:endnote w:type="continuationNotice" w:id="1">
    <w:p w14:paraId="4E147367" w14:textId="77777777" w:rsidR="009E700E" w:rsidRDefault="009E70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369452E"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D7981" w:rsidRPr="00CD7981">
      <w:rPr>
        <w:rFonts w:cs="Arial"/>
        <w:noProof/>
        <w:sz w:val="16"/>
        <w:szCs w:val="16"/>
      </w:rPr>
      <w:t>Vfend</w:t>
    </w:r>
    <w:r w:rsidR="00CD7981">
      <w:rPr>
        <w:rFonts w:cs="Arial"/>
        <w:noProof/>
        <w:snapToGrid w:val="0"/>
        <w:color w:val="000000"/>
        <w:sz w:val="16"/>
        <w:szCs w:val="16"/>
      </w:rPr>
      <w:t xml:space="preserve"> PA 241-A</w:t>
    </w:r>
    <w:r w:rsidR="00CD7981" w:rsidRPr="00CD7981">
      <w:rPr>
        <w:rFonts w:cs="Arial"/>
        <w:noProof/>
        <w:sz w:val="16"/>
        <w:szCs w:val="16"/>
      </w:rPr>
      <w:t xml:space="preserve"> P01-2025.docx</w:t>
    </w:r>
    <w:r w:rsidRPr="00EC47B6">
      <w:rPr>
        <w:rFonts w:cs="Arial"/>
        <w:noProof/>
        <w:sz w:val="16"/>
        <w:szCs w:val="16"/>
      </w:rPr>
      <w:fldChar w:fldCharType="end"/>
    </w:r>
    <w:r w:rsidRPr="00EC47B6">
      <w:rPr>
        <w:rFonts w:cs="Arial"/>
        <w:snapToGrid w:val="0"/>
        <w:color w:val="000000"/>
        <w:sz w:val="16"/>
      </w:rPr>
      <w:tab/>
      <w:t>© 202</w:t>
    </w:r>
    <w:r w:rsidR="005C39B0">
      <w:rPr>
        <w:rFonts w:cs="Arial"/>
        <w:snapToGrid w:val="0"/>
        <w:color w:val="000000"/>
        <w:sz w:val="16"/>
      </w:rPr>
      <w:t>5</w:t>
    </w:r>
    <w:r w:rsidRPr="00EC47B6">
      <w:rPr>
        <w:rFonts w:cs="Arial"/>
        <w:snapToGrid w:val="0"/>
        <w:color w:val="000000"/>
        <w:sz w:val="16"/>
      </w:rPr>
      <w:t xml:space="preserve"> CVS Caremark. All rights reserved.</w:t>
    </w:r>
  </w:p>
  <w:p w14:paraId="61CF5924" w14:textId="32ECFB47"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D9FCA58" w:rsidR="00F75C81" w:rsidRPr="00AA1E6A" w:rsidRDefault="00C36B72" w:rsidP="00BF4D7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ED81AE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D7981" w:rsidRPr="00CD7981">
      <w:rPr>
        <w:rFonts w:cs="Arial"/>
        <w:noProof/>
        <w:sz w:val="16"/>
        <w:szCs w:val="16"/>
      </w:rPr>
      <w:t>Vfend</w:t>
    </w:r>
    <w:r w:rsidR="00CD7981">
      <w:rPr>
        <w:rFonts w:cs="Arial"/>
        <w:noProof/>
        <w:snapToGrid w:val="0"/>
        <w:color w:val="000000"/>
        <w:sz w:val="16"/>
        <w:szCs w:val="16"/>
      </w:rPr>
      <w:t xml:space="preserve"> PA 241-A</w:t>
    </w:r>
    <w:r w:rsidR="00CD7981" w:rsidRPr="00CD7981">
      <w:rPr>
        <w:rFonts w:cs="Arial"/>
        <w:noProof/>
        <w:sz w:val="16"/>
        <w:szCs w:val="16"/>
      </w:rPr>
      <w:t xml:space="preserve"> P01-2025.docx</w:t>
    </w:r>
    <w:r w:rsidRPr="00EC47B6">
      <w:rPr>
        <w:rFonts w:cs="Arial"/>
        <w:noProof/>
        <w:sz w:val="16"/>
        <w:szCs w:val="16"/>
      </w:rPr>
      <w:fldChar w:fldCharType="end"/>
    </w:r>
    <w:r w:rsidRPr="00EC47B6">
      <w:rPr>
        <w:rFonts w:cs="Arial"/>
        <w:snapToGrid w:val="0"/>
        <w:color w:val="000000"/>
        <w:sz w:val="16"/>
      </w:rPr>
      <w:tab/>
      <w:t>© 202</w:t>
    </w:r>
    <w:r w:rsidR="005C39B0">
      <w:rPr>
        <w:rFonts w:cs="Arial"/>
        <w:snapToGrid w:val="0"/>
        <w:color w:val="000000"/>
        <w:sz w:val="16"/>
      </w:rPr>
      <w:t>5</w:t>
    </w:r>
    <w:r w:rsidRPr="00EC47B6">
      <w:rPr>
        <w:rFonts w:cs="Arial"/>
        <w:snapToGrid w:val="0"/>
        <w:color w:val="000000"/>
        <w:sz w:val="16"/>
      </w:rPr>
      <w:t xml:space="preserve"> CVS Caremark. All rights reserved.</w:t>
    </w:r>
  </w:p>
  <w:p w14:paraId="39BFE579" w14:textId="27556A24"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F1E7C93" w:rsidR="00ED04EC" w:rsidRPr="00F50D98" w:rsidRDefault="00F50D98" w:rsidP="00BF4D7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62F20" w14:textId="77777777" w:rsidR="009E700E" w:rsidRDefault="009E700E">
      <w:r>
        <w:separator/>
      </w:r>
    </w:p>
  </w:footnote>
  <w:footnote w:type="continuationSeparator" w:id="0">
    <w:p w14:paraId="16D866FF" w14:textId="77777777" w:rsidR="009E700E" w:rsidRDefault="009E700E">
      <w:r>
        <w:continuationSeparator/>
      </w:r>
    </w:p>
  </w:footnote>
  <w:footnote w:type="continuationNotice" w:id="1">
    <w:p w14:paraId="5A2BAF11" w14:textId="77777777" w:rsidR="009E700E" w:rsidRDefault="009E70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844168" w14:paraId="16262E63" w14:textId="77777777" w:rsidTr="0006569F">
      <w:trPr>
        <w:trHeight w:val="144"/>
        <w:jc w:val="right"/>
      </w:trPr>
      <w:tc>
        <w:tcPr>
          <w:tcW w:w="1854" w:type="dxa"/>
          <w:hideMark/>
        </w:tcPr>
        <w:p w14:paraId="18F550B7" w14:textId="77777777" w:rsidR="00ED04EC" w:rsidRPr="00844168" w:rsidRDefault="00ED04EC" w:rsidP="00ED04EC">
          <w:pPr>
            <w:pStyle w:val="Header"/>
            <w:rPr>
              <w:rFonts w:cs="Arial"/>
              <w:sz w:val="16"/>
              <w:szCs w:val="16"/>
            </w:rPr>
          </w:pPr>
          <w:r w:rsidRPr="00844168">
            <w:rPr>
              <w:rFonts w:cs="Arial"/>
              <w:sz w:val="16"/>
              <w:szCs w:val="16"/>
            </w:rPr>
            <w:t>Reference number(s)</w:t>
          </w:r>
        </w:p>
      </w:tc>
    </w:tr>
    <w:tr w:rsidR="00ED04EC" w:rsidRPr="00844168" w14:paraId="703C6588" w14:textId="77777777" w:rsidTr="0006569F">
      <w:trPr>
        <w:trHeight w:val="378"/>
        <w:jc w:val="right"/>
      </w:trPr>
      <w:tc>
        <w:tcPr>
          <w:tcW w:w="1854" w:type="dxa"/>
          <w:hideMark/>
        </w:tcPr>
        <w:p w14:paraId="51CE3E64" w14:textId="26787E8D" w:rsidR="00ED04EC" w:rsidRPr="00844168" w:rsidRDefault="009D1007" w:rsidP="00ED04EC">
          <w:pPr>
            <w:pStyle w:val="Header"/>
            <w:rPr>
              <w:rFonts w:cs="Arial"/>
              <w:color w:val="FF0000"/>
              <w:sz w:val="16"/>
              <w:szCs w:val="16"/>
            </w:rPr>
          </w:pPr>
          <w:r w:rsidRPr="00844168">
            <w:rPr>
              <w:rFonts w:cs="Arial"/>
              <w:sz w:val="16"/>
              <w:szCs w:val="16"/>
            </w:rPr>
            <w:t>241-A</w:t>
          </w:r>
        </w:p>
      </w:tc>
    </w:tr>
  </w:tbl>
  <w:p w14:paraId="0D5ACCC2" w14:textId="7B64F604"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585D5C"/>
    <w:multiLevelType w:val="hybridMultilevel"/>
    <w:tmpl w:val="44388D64"/>
    <w:lvl w:ilvl="0" w:tplc="9BA6BE5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FA4444"/>
    <w:multiLevelType w:val="hybridMultilevel"/>
    <w:tmpl w:val="DFDCA2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87082C"/>
    <w:multiLevelType w:val="hybridMultilevel"/>
    <w:tmpl w:val="7812D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7"/>
  </w:num>
  <w:num w:numId="17" w16cid:durableId="2128498676">
    <w:abstractNumId w:val="26"/>
  </w:num>
  <w:num w:numId="18" w16cid:durableId="299724409">
    <w:abstractNumId w:val="20"/>
  </w:num>
  <w:num w:numId="19" w16cid:durableId="214585573">
    <w:abstractNumId w:val="14"/>
  </w:num>
  <w:num w:numId="20" w16cid:durableId="1289816170">
    <w:abstractNumId w:val="15"/>
  </w:num>
  <w:num w:numId="21" w16cid:durableId="1066490929">
    <w:abstractNumId w:val="27"/>
  </w:num>
  <w:num w:numId="22" w16cid:durableId="1472481103">
    <w:abstractNumId w:val="22"/>
  </w:num>
  <w:num w:numId="23" w16cid:durableId="1997420403">
    <w:abstractNumId w:val="24"/>
  </w:num>
  <w:num w:numId="24" w16cid:durableId="33312838">
    <w:abstractNumId w:val="21"/>
  </w:num>
  <w:num w:numId="25" w16cid:durableId="507404939">
    <w:abstractNumId w:val="16"/>
  </w:num>
  <w:num w:numId="26" w16cid:durableId="936016111">
    <w:abstractNumId w:val="25"/>
  </w:num>
  <w:num w:numId="27" w16cid:durableId="719206994">
    <w:abstractNumId w:val="18"/>
  </w:num>
  <w:num w:numId="28" w16cid:durableId="989945183">
    <w:abstractNumId w:val="27"/>
  </w:num>
  <w:num w:numId="29" w16cid:durableId="1056901968">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8FF"/>
    <w:rsid w:val="00004A72"/>
    <w:rsid w:val="00004F4E"/>
    <w:rsid w:val="00005C28"/>
    <w:rsid w:val="00006174"/>
    <w:rsid w:val="00006AC2"/>
    <w:rsid w:val="00006E19"/>
    <w:rsid w:val="00006ED9"/>
    <w:rsid w:val="00007844"/>
    <w:rsid w:val="00007A56"/>
    <w:rsid w:val="00010351"/>
    <w:rsid w:val="000106D6"/>
    <w:rsid w:val="00010A20"/>
    <w:rsid w:val="00010FE0"/>
    <w:rsid w:val="00011D89"/>
    <w:rsid w:val="00011ED0"/>
    <w:rsid w:val="000125C7"/>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654"/>
    <w:rsid w:val="00022D21"/>
    <w:rsid w:val="0002338D"/>
    <w:rsid w:val="00024BB4"/>
    <w:rsid w:val="000255D0"/>
    <w:rsid w:val="0002595C"/>
    <w:rsid w:val="00026803"/>
    <w:rsid w:val="00026C62"/>
    <w:rsid w:val="000273F0"/>
    <w:rsid w:val="00030714"/>
    <w:rsid w:val="00030C13"/>
    <w:rsid w:val="00030CF7"/>
    <w:rsid w:val="000311EC"/>
    <w:rsid w:val="000315F1"/>
    <w:rsid w:val="000318EA"/>
    <w:rsid w:val="0003203C"/>
    <w:rsid w:val="00032275"/>
    <w:rsid w:val="00032659"/>
    <w:rsid w:val="00032924"/>
    <w:rsid w:val="00033F4B"/>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4B5"/>
    <w:rsid w:val="000A1653"/>
    <w:rsid w:val="000A1ACD"/>
    <w:rsid w:val="000A2697"/>
    <w:rsid w:val="000A34B0"/>
    <w:rsid w:val="000A3543"/>
    <w:rsid w:val="000A42D7"/>
    <w:rsid w:val="000A5AE5"/>
    <w:rsid w:val="000A71EC"/>
    <w:rsid w:val="000A79DC"/>
    <w:rsid w:val="000A7D51"/>
    <w:rsid w:val="000B0F9D"/>
    <w:rsid w:val="000B104D"/>
    <w:rsid w:val="000B1961"/>
    <w:rsid w:val="000B20CD"/>
    <w:rsid w:val="000B40A1"/>
    <w:rsid w:val="000B57DC"/>
    <w:rsid w:val="000B5871"/>
    <w:rsid w:val="000B5E31"/>
    <w:rsid w:val="000B6086"/>
    <w:rsid w:val="000B61D7"/>
    <w:rsid w:val="000B6B15"/>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94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7F"/>
    <w:rsid w:val="001156BC"/>
    <w:rsid w:val="001159B3"/>
    <w:rsid w:val="00115C7E"/>
    <w:rsid w:val="0011622E"/>
    <w:rsid w:val="00117495"/>
    <w:rsid w:val="0011772F"/>
    <w:rsid w:val="001202DD"/>
    <w:rsid w:val="00121BD0"/>
    <w:rsid w:val="00121F7F"/>
    <w:rsid w:val="00122472"/>
    <w:rsid w:val="001244EB"/>
    <w:rsid w:val="00125550"/>
    <w:rsid w:val="00126DF9"/>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9BB"/>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66B"/>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2A01"/>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58B4"/>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4529"/>
    <w:rsid w:val="001D536B"/>
    <w:rsid w:val="001D56F3"/>
    <w:rsid w:val="001D595E"/>
    <w:rsid w:val="001D5AA2"/>
    <w:rsid w:val="001D694B"/>
    <w:rsid w:val="001E0D36"/>
    <w:rsid w:val="001E1249"/>
    <w:rsid w:val="001E43E4"/>
    <w:rsid w:val="001E577A"/>
    <w:rsid w:val="001E637E"/>
    <w:rsid w:val="001E66EE"/>
    <w:rsid w:val="001E679E"/>
    <w:rsid w:val="001E6A86"/>
    <w:rsid w:val="001E6A96"/>
    <w:rsid w:val="001E6D9E"/>
    <w:rsid w:val="001E6FB8"/>
    <w:rsid w:val="001E7C7E"/>
    <w:rsid w:val="001F031E"/>
    <w:rsid w:val="001F0F10"/>
    <w:rsid w:val="001F14DB"/>
    <w:rsid w:val="001F23D0"/>
    <w:rsid w:val="001F24E7"/>
    <w:rsid w:val="001F2760"/>
    <w:rsid w:val="001F2F24"/>
    <w:rsid w:val="001F4025"/>
    <w:rsid w:val="001F4BF6"/>
    <w:rsid w:val="001F55CC"/>
    <w:rsid w:val="001F6065"/>
    <w:rsid w:val="001F629F"/>
    <w:rsid w:val="001F6363"/>
    <w:rsid w:val="001F6373"/>
    <w:rsid w:val="001F68ED"/>
    <w:rsid w:val="001F6F6F"/>
    <w:rsid w:val="002017F4"/>
    <w:rsid w:val="0020279F"/>
    <w:rsid w:val="002027FF"/>
    <w:rsid w:val="00202A61"/>
    <w:rsid w:val="00202E2F"/>
    <w:rsid w:val="00203468"/>
    <w:rsid w:val="002036D7"/>
    <w:rsid w:val="002041BB"/>
    <w:rsid w:val="002041DB"/>
    <w:rsid w:val="00204EAC"/>
    <w:rsid w:val="00205741"/>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2E2"/>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023"/>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767"/>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EF9"/>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2B8F"/>
    <w:rsid w:val="002E362E"/>
    <w:rsid w:val="002E3C61"/>
    <w:rsid w:val="002E3D87"/>
    <w:rsid w:val="002E5C63"/>
    <w:rsid w:val="002E6AE1"/>
    <w:rsid w:val="002E7264"/>
    <w:rsid w:val="002F1388"/>
    <w:rsid w:val="002F23BB"/>
    <w:rsid w:val="002F2FA8"/>
    <w:rsid w:val="002F311C"/>
    <w:rsid w:val="002F335A"/>
    <w:rsid w:val="002F5F01"/>
    <w:rsid w:val="002F6300"/>
    <w:rsid w:val="002F6881"/>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CF"/>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6A9"/>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9BB"/>
    <w:rsid w:val="00465D41"/>
    <w:rsid w:val="00467039"/>
    <w:rsid w:val="0046758D"/>
    <w:rsid w:val="0046774D"/>
    <w:rsid w:val="004701D8"/>
    <w:rsid w:val="00470A2B"/>
    <w:rsid w:val="004715B7"/>
    <w:rsid w:val="004715CD"/>
    <w:rsid w:val="00471CB4"/>
    <w:rsid w:val="00472590"/>
    <w:rsid w:val="00472BA6"/>
    <w:rsid w:val="00472D92"/>
    <w:rsid w:val="004733F3"/>
    <w:rsid w:val="004737CD"/>
    <w:rsid w:val="004743C0"/>
    <w:rsid w:val="00474CA4"/>
    <w:rsid w:val="00474E36"/>
    <w:rsid w:val="00475D6D"/>
    <w:rsid w:val="004763E4"/>
    <w:rsid w:val="00476490"/>
    <w:rsid w:val="0047697B"/>
    <w:rsid w:val="00476C5C"/>
    <w:rsid w:val="00477751"/>
    <w:rsid w:val="00477EC5"/>
    <w:rsid w:val="00480100"/>
    <w:rsid w:val="00480B9F"/>
    <w:rsid w:val="00481302"/>
    <w:rsid w:val="00481604"/>
    <w:rsid w:val="00482364"/>
    <w:rsid w:val="00482824"/>
    <w:rsid w:val="00482B30"/>
    <w:rsid w:val="00482C95"/>
    <w:rsid w:val="00483550"/>
    <w:rsid w:val="004837DF"/>
    <w:rsid w:val="00483A49"/>
    <w:rsid w:val="0048493C"/>
    <w:rsid w:val="004849F7"/>
    <w:rsid w:val="0048525A"/>
    <w:rsid w:val="00485778"/>
    <w:rsid w:val="00485AD8"/>
    <w:rsid w:val="00485EC2"/>
    <w:rsid w:val="0048627F"/>
    <w:rsid w:val="00486D0D"/>
    <w:rsid w:val="00486F89"/>
    <w:rsid w:val="00486F9E"/>
    <w:rsid w:val="004872D7"/>
    <w:rsid w:val="004875EB"/>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760"/>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6A5"/>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0AEB"/>
    <w:rsid w:val="004F1270"/>
    <w:rsid w:val="004F1A5E"/>
    <w:rsid w:val="004F2E2A"/>
    <w:rsid w:val="004F34FF"/>
    <w:rsid w:val="004F37F3"/>
    <w:rsid w:val="004F3F44"/>
    <w:rsid w:val="004F440F"/>
    <w:rsid w:val="004F457C"/>
    <w:rsid w:val="004F46AD"/>
    <w:rsid w:val="004F4A46"/>
    <w:rsid w:val="004F4BA5"/>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356C"/>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972"/>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1137"/>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36A"/>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9B0"/>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2AA8"/>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396"/>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8EA"/>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6FF0"/>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47729"/>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2F3E"/>
    <w:rsid w:val="006A37C9"/>
    <w:rsid w:val="006A3CFD"/>
    <w:rsid w:val="006A3F40"/>
    <w:rsid w:val="006A790B"/>
    <w:rsid w:val="006A7B7D"/>
    <w:rsid w:val="006B01F7"/>
    <w:rsid w:val="006B296D"/>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C6C72"/>
    <w:rsid w:val="006D00F3"/>
    <w:rsid w:val="006D0FA8"/>
    <w:rsid w:val="006D1263"/>
    <w:rsid w:val="006D1284"/>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3FF6"/>
    <w:rsid w:val="006E423D"/>
    <w:rsid w:val="006E43A7"/>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CB3"/>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2BEF"/>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67576"/>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3EC1"/>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7F6D95"/>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2122"/>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362B0"/>
    <w:rsid w:val="008409AE"/>
    <w:rsid w:val="00840EA7"/>
    <w:rsid w:val="00841EBA"/>
    <w:rsid w:val="008428E1"/>
    <w:rsid w:val="00842F87"/>
    <w:rsid w:val="008432CC"/>
    <w:rsid w:val="00843CE4"/>
    <w:rsid w:val="00844168"/>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64D"/>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7D4"/>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2F1F"/>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479"/>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A70"/>
    <w:rsid w:val="008F5F59"/>
    <w:rsid w:val="008F640B"/>
    <w:rsid w:val="008F75E0"/>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EDB"/>
    <w:rsid w:val="00930F9F"/>
    <w:rsid w:val="00930FF5"/>
    <w:rsid w:val="00931D1D"/>
    <w:rsid w:val="00931D32"/>
    <w:rsid w:val="00931F76"/>
    <w:rsid w:val="009323E1"/>
    <w:rsid w:val="009324A8"/>
    <w:rsid w:val="00932532"/>
    <w:rsid w:val="00934A46"/>
    <w:rsid w:val="00935BC3"/>
    <w:rsid w:val="00937266"/>
    <w:rsid w:val="00940AA9"/>
    <w:rsid w:val="00941264"/>
    <w:rsid w:val="0094296E"/>
    <w:rsid w:val="0094298C"/>
    <w:rsid w:val="009434E1"/>
    <w:rsid w:val="0094553A"/>
    <w:rsid w:val="00947FC1"/>
    <w:rsid w:val="00950109"/>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226"/>
    <w:rsid w:val="009C4B9D"/>
    <w:rsid w:val="009C4E1E"/>
    <w:rsid w:val="009C595B"/>
    <w:rsid w:val="009C6673"/>
    <w:rsid w:val="009C6CB5"/>
    <w:rsid w:val="009C6CFE"/>
    <w:rsid w:val="009C7D3E"/>
    <w:rsid w:val="009D0B0C"/>
    <w:rsid w:val="009D0C37"/>
    <w:rsid w:val="009D100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E700E"/>
    <w:rsid w:val="009F0845"/>
    <w:rsid w:val="009F1EDE"/>
    <w:rsid w:val="009F2CEE"/>
    <w:rsid w:val="009F2EF1"/>
    <w:rsid w:val="009F3F1F"/>
    <w:rsid w:val="009F426B"/>
    <w:rsid w:val="009F6192"/>
    <w:rsid w:val="009F672D"/>
    <w:rsid w:val="009F6E2E"/>
    <w:rsid w:val="009F726E"/>
    <w:rsid w:val="009F7EA7"/>
    <w:rsid w:val="00A000EF"/>
    <w:rsid w:val="00A0031D"/>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6E2"/>
    <w:rsid w:val="00A15AE5"/>
    <w:rsid w:val="00A16536"/>
    <w:rsid w:val="00A16E35"/>
    <w:rsid w:val="00A20159"/>
    <w:rsid w:val="00A211E2"/>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4FA5"/>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3DC"/>
    <w:rsid w:val="00AB299D"/>
    <w:rsid w:val="00AB2BF1"/>
    <w:rsid w:val="00AB2DE9"/>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6F0"/>
    <w:rsid w:val="00AC5988"/>
    <w:rsid w:val="00AC6DB3"/>
    <w:rsid w:val="00AC7B9C"/>
    <w:rsid w:val="00AD04FE"/>
    <w:rsid w:val="00AD1327"/>
    <w:rsid w:val="00AD15D0"/>
    <w:rsid w:val="00AD172C"/>
    <w:rsid w:val="00AD1F50"/>
    <w:rsid w:val="00AD2E5F"/>
    <w:rsid w:val="00AD457D"/>
    <w:rsid w:val="00AD5212"/>
    <w:rsid w:val="00AD5E4E"/>
    <w:rsid w:val="00AD6657"/>
    <w:rsid w:val="00AD6ADD"/>
    <w:rsid w:val="00AD703C"/>
    <w:rsid w:val="00AE13E6"/>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E75E1"/>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598D"/>
    <w:rsid w:val="00AF6487"/>
    <w:rsid w:val="00AF6F09"/>
    <w:rsid w:val="00B00963"/>
    <w:rsid w:val="00B01716"/>
    <w:rsid w:val="00B01BDE"/>
    <w:rsid w:val="00B02279"/>
    <w:rsid w:val="00B03227"/>
    <w:rsid w:val="00B038AD"/>
    <w:rsid w:val="00B038CA"/>
    <w:rsid w:val="00B03B5E"/>
    <w:rsid w:val="00B03B92"/>
    <w:rsid w:val="00B044CE"/>
    <w:rsid w:val="00B046B1"/>
    <w:rsid w:val="00B04801"/>
    <w:rsid w:val="00B0481F"/>
    <w:rsid w:val="00B04BD5"/>
    <w:rsid w:val="00B05281"/>
    <w:rsid w:val="00B05534"/>
    <w:rsid w:val="00B06462"/>
    <w:rsid w:val="00B06E83"/>
    <w:rsid w:val="00B07922"/>
    <w:rsid w:val="00B104E7"/>
    <w:rsid w:val="00B10E8F"/>
    <w:rsid w:val="00B1104E"/>
    <w:rsid w:val="00B113E6"/>
    <w:rsid w:val="00B12088"/>
    <w:rsid w:val="00B128A7"/>
    <w:rsid w:val="00B137E7"/>
    <w:rsid w:val="00B14A97"/>
    <w:rsid w:val="00B14DD8"/>
    <w:rsid w:val="00B15017"/>
    <w:rsid w:val="00B155C3"/>
    <w:rsid w:val="00B15B1A"/>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2770E"/>
    <w:rsid w:val="00B27AC5"/>
    <w:rsid w:val="00B30C78"/>
    <w:rsid w:val="00B323A4"/>
    <w:rsid w:val="00B33563"/>
    <w:rsid w:val="00B3404B"/>
    <w:rsid w:val="00B34094"/>
    <w:rsid w:val="00B343F3"/>
    <w:rsid w:val="00B34FE4"/>
    <w:rsid w:val="00B36321"/>
    <w:rsid w:val="00B3643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442"/>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066A"/>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50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64DF"/>
    <w:rsid w:val="00B97115"/>
    <w:rsid w:val="00B976D7"/>
    <w:rsid w:val="00BA02AD"/>
    <w:rsid w:val="00BA06AE"/>
    <w:rsid w:val="00BA11F3"/>
    <w:rsid w:val="00BA185E"/>
    <w:rsid w:val="00BA2050"/>
    <w:rsid w:val="00BA20D0"/>
    <w:rsid w:val="00BA217B"/>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D77"/>
    <w:rsid w:val="00BF4E26"/>
    <w:rsid w:val="00BF5865"/>
    <w:rsid w:val="00BF5927"/>
    <w:rsid w:val="00BF5953"/>
    <w:rsid w:val="00BF665E"/>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2B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10D"/>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125B"/>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4916"/>
    <w:rsid w:val="00C65465"/>
    <w:rsid w:val="00C65502"/>
    <w:rsid w:val="00C675EB"/>
    <w:rsid w:val="00C676EA"/>
    <w:rsid w:val="00C700FE"/>
    <w:rsid w:val="00C72424"/>
    <w:rsid w:val="00C73E8B"/>
    <w:rsid w:val="00C74F5C"/>
    <w:rsid w:val="00C75C02"/>
    <w:rsid w:val="00C76A4B"/>
    <w:rsid w:val="00C76BFE"/>
    <w:rsid w:val="00C77681"/>
    <w:rsid w:val="00C77D90"/>
    <w:rsid w:val="00C77E3D"/>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54AF"/>
    <w:rsid w:val="00CB6054"/>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397"/>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D7981"/>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17D69"/>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3747"/>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2B4"/>
    <w:rsid w:val="00D45515"/>
    <w:rsid w:val="00D45602"/>
    <w:rsid w:val="00D456BD"/>
    <w:rsid w:val="00D4581E"/>
    <w:rsid w:val="00D47412"/>
    <w:rsid w:val="00D500A7"/>
    <w:rsid w:val="00D50531"/>
    <w:rsid w:val="00D50BD5"/>
    <w:rsid w:val="00D50C10"/>
    <w:rsid w:val="00D520CD"/>
    <w:rsid w:val="00D5213B"/>
    <w:rsid w:val="00D5238D"/>
    <w:rsid w:val="00D5331B"/>
    <w:rsid w:val="00D55241"/>
    <w:rsid w:val="00D5579C"/>
    <w:rsid w:val="00D56213"/>
    <w:rsid w:val="00D566EA"/>
    <w:rsid w:val="00D56FC3"/>
    <w:rsid w:val="00D578A8"/>
    <w:rsid w:val="00D6162B"/>
    <w:rsid w:val="00D64807"/>
    <w:rsid w:val="00D6549B"/>
    <w:rsid w:val="00D65533"/>
    <w:rsid w:val="00D665CC"/>
    <w:rsid w:val="00D67252"/>
    <w:rsid w:val="00D70C19"/>
    <w:rsid w:val="00D71176"/>
    <w:rsid w:val="00D71739"/>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5D4D"/>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2FB5"/>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4BAE"/>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07CB"/>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1CF3"/>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1657"/>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BF4"/>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08C"/>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CF"/>
    <w:rsid w:val="00FA03D8"/>
    <w:rsid w:val="00FA0478"/>
    <w:rsid w:val="00FA125F"/>
    <w:rsid w:val="00FA14F9"/>
    <w:rsid w:val="00FA2BAA"/>
    <w:rsid w:val="00FA2C28"/>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3B7"/>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027D"/>
    <w:rsid w:val="00FF2F94"/>
    <w:rsid w:val="00FF35C5"/>
    <w:rsid w:val="00FF37B2"/>
    <w:rsid w:val="00FF530E"/>
    <w:rsid w:val="00FF5A20"/>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7661D90C-53D7-4CE3-8C5E-FE6958454394}"/>
</file>

<file path=docProps/app.xml><?xml version="1.0" encoding="utf-8"?>
<Properties xmlns="http://schemas.openxmlformats.org/officeDocument/2006/extended-properties" xmlns:vt="http://schemas.openxmlformats.org/officeDocument/2006/docPropsVTypes">
  <Template>Normal.dotm</Template>
  <TotalTime>1</TotalTime>
  <Pages>4</Pages>
  <Words>975</Words>
  <Characters>5753</Characters>
  <Application>Microsoft Office Word</Application>
  <DocSecurity>0</DocSecurity>
  <Lines>155</Lines>
  <Paragraphs>126</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Vfend PA 241-A</dc:title>
  <dc:subject/>
  <dc:creator>CVS Caremark</dc:creator>
  <cp:keywords/>
  <cp:lastModifiedBy>Huerta, Linda M</cp:lastModifiedBy>
  <cp:revision>3</cp:revision>
  <cp:lastPrinted>2018-01-09T05:01:00Z</cp:lastPrinted>
  <dcterms:created xsi:type="dcterms:W3CDTF">2025-04-16T20:17:00Z</dcterms:created>
  <dcterms:modified xsi:type="dcterms:W3CDTF">2025-04-16T20:18:00Z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121700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